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BC69EF" w:rsidRDefault="004002F9" w:rsidP="004002F9">
      <w:pPr>
        <w:tabs>
          <w:tab w:val="left" w:pos="1134"/>
        </w:tabs>
        <w:spacing w:line="360" w:lineRule="auto"/>
        <w:jc w:val="both"/>
        <w:rPr>
          <w:rFonts w:cs="Arial"/>
          <w:b/>
          <w:bCs/>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0B4018">
        <w:rPr>
          <w:rFonts w:cs="Arial"/>
          <w:sz w:val="24"/>
          <w:szCs w:val="24"/>
        </w:rPr>
        <w:t>CJC COMERCIO VAREJISTA E ATACADISTA DE FERRAMENTAS LTDA</w:t>
      </w:r>
      <w:r w:rsidRPr="004002F9">
        <w:rPr>
          <w:rFonts w:cs="Arial"/>
          <w:sz w:val="24"/>
          <w:szCs w:val="24"/>
        </w:rPr>
        <w:t>, inscrita no CNPJ/MF nº.</w:t>
      </w:r>
      <w:r w:rsidR="000B4018">
        <w:rPr>
          <w:rFonts w:cs="Arial"/>
          <w:sz w:val="24"/>
          <w:szCs w:val="24"/>
        </w:rPr>
        <w:t>40.044.370/0001-96</w:t>
      </w:r>
      <w:r w:rsidRPr="004002F9">
        <w:rPr>
          <w:rFonts w:cs="Arial"/>
          <w:sz w:val="24"/>
          <w:szCs w:val="24"/>
        </w:rPr>
        <w:t>, es</w:t>
      </w:r>
      <w:r w:rsidR="00BC69EF">
        <w:rPr>
          <w:rFonts w:cs="Arial"/>
          <w:sz w:val="24"/>
          <w:szCs w:val="24"/>
        </w:rPr>
        <w:t>tabelecida na Avenida Primeiro de Maio, nº 2221, sala tereo, várzea grande, Gramado</w:t>
      </w:r>
      <w:r w:rsidR="00AA5FC9">
        <w:rPr>
          <w:rFonts w:cs="Arial"/>
          <w:sz w:val="24"/>
          <w:szCs w:val="24"/>
        </w:rPr>
        <w:t xml:space="preserve"> - RS,</w:t>
      </w:r>
      <w:r w:rsidRPr="004002F9">
        <w:rPr>
          <w:rFonts w:cs="Arial"/>
          <w:sz w:val="24"/>
          <w:szCs w:val="24"/>
        </w:rPr>
        <w:t xml:space="preserve"> neste ato representada por seu sócio</w:t>
      </w:r>
      <w:r w:rsidR="00AA5FC9">
        <w:rPr>
          <w:rFonts w:cs="Arial"/>
          <w:sz w:val="24"/>
          <w:szCs w:val="24"/>
        </w:rPr>
        <w:t xml:space="preserve"> proprietário, Senhor</w:t>
      </w:r>
      <w:r w:rsidR="00BC69EF">
        <w:rPr>
          <w:rFonts w:cs="Arial"/>
          <w:sz w:val="24"/>
          <w:szCs w:val="24"/>
        </w:rPr>
        <w:t>a</w:t>
      </w:r>
      <w:r w:rsidR="00BC69EF" w:rsidRPr="00BC69EF">
        <w:rPr>
          <w:rFonts w:cs="Arial"/>
          <w:sz w:val="24"/>
          <w:szCs w:val="24"/>
        </w:rPr>
        <w:t xml:space="preserve"> </w:t>
      </w:r>
      <w:r w:rsidR="00BC69EF">
        <w:rPr>
          <w:rFonts w:cs="Arial"/>
          <w:sz w:val="24"/>
          <w:szCs w:val="24"/>
        </w:rPr>
        <w:t>CINDY MAIRA TISSOT, Brasileira, empresária</w:t>
      </w:r>
      <w:r w:rsidRPr="004002F9">
        <w:rPr>
          <w:rFonts w:cs="Arial"/>
          <w:sz w:val="24"/>
          <w:szCs w:val="24"/>
        </w:rPr>
        <w:t xml:space="preserve">, residente </w:t>
      </w:r>
      <w:r w:rsidR="00AA5FC9">
        <w:rPr>
          <w:rFonts w:cs="Arial"/>
          <w:sz w:val="24"/>
          <w:szCs w:val="24"/>
        </w:rPr>
        <w:t>e do</w:t>
      </w:r>
      <w:r w:rsidR="00BC69EF">
        <w:rPr>
          <w:rFonts w:cs="Arial"/>
          <w:sz w:val="24"/>
          <w:szCs w:val="24"/>
        </w:rPr>
        <w:t>miciliado na cidade de Gramado</w:t>
      </w:r>
      <w:r w:rsidR="00AA5FC9">
        <w:rPr>
          <w:rFonts w:cs="Arial"/>
          <w:sz w:val="24"/>
          <w:szCs w:val="24"/>
        </w:rPr>
        <w:t xml:space="preserve"> - RS</w:t>
      </w:r>
      <w:r w:rsidR="000A1C9B">
        <w:rPr>
          <w:rFonts w:cs="Arial"/>
          <w:sz w:val="24"/>
          <w:szCs w:val="24"/>
        </w:rPr>
        <w:t>, CPF nº</w:t>
      </w:r>
      <w:r w:rsidR="00BC69EF">
        <w:rPr>
          <w:rFonts w:cs="Arial"/>
          <w:sz w:val="24"/>
          <w:szCs w:val="24"/>
        </w:rPr>
        <w:t>018.324.320-09</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762"/>
        <w:gridCol w:w="1509"/>
        <w:gridCol w:w="1526"/>
        <w:gridCol w:w="1661"/>
        <w:gridCol w:w="1693"/>
      </w:tblGrid>
      <w:tr w:rsidR="000A1C9B" w:rsidRPr="000E1A72" w:rsidTr="00BC69EF">
        <w:trPr>
          <w:trHeight w:val="115"/>
        </w:trPr>
        <w:tc>
          <w:tcPr>
            <w:tcW w:w="1963"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762"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9"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26"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61"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93"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BC69EF">
        <w:trPr>
          <w:trHeight w:val="1314"/>
        </w:trPr>
        <w:tc>
          <w:tcPr>
            <w:tcW w:w="1963" w:type="dxa"/>
            <w:shd w:val="clear" w:color="auto" w:fill="auto"/>
          </w:tcPr>
          <w:p w:rsidR="000A1C9B" w:rsidRDefault="00BC69EF" w:rsidP="000E1A72">
            <w:pPr>
              <w:tabs>
                <w:tab w:val="left" w:pos="1134"/>
              </w:tabs>
              <w:spacing w:line="360" w:lineRule="auto"/>
              <w:jc w:val="both"/>
              <w:rPr>
                <w:rFonts w:cs="Arial"/>
                <w:b/>
                <w:sz w:val="24"/>
                <w:szCs w:val="24"/>
              </w:rPr>
            </w:pPr>
            <w:r>
              <w:rPr>
                <w:rFonts w:cs="Arial"/>
                <w:b/>
                <w:sz w:val="24"/>
                <w:szCs w:val="24"/>
              </w:rPr>
              <w:t>74</w:t>
            </w:r>
          </w:p>
        </w:tc>
        <w:tc>
          <w:tcPr>
            <w:tcW w:w="1762" w:type="dxa"/>
            <w:shd w:val="clear" w:color="auto" w:fill="auto"/>
          </w:tcPr>
          <w:p w:rsidR="000A1C9B" w:rsidRDefault="00BC69EF" w:rsidP="000E1A72">
            <w:pPr>
              <w:tabs>
                <w:tab w:val="left" w:pos="1134"/>
              </w:tabs>
              <w:spacing w:line="360" w:lineRule="auto"/>
              <w:jc w:val="both"/>
              <w:rPr>
                <w:rFonts w:cs="Arial"/>
                <w:b/>
                <w:sz w:val="24"/>
                <w:szCs w:val="24"/>
              </w:rPr>
            </w:pPr>
            <w:r>
              <w:rPr>
                <w:rFonts w:cs="Arial"/>
                <w:b/>
                <w:sz w:val="24"/>
                <w:szCs w:val="24"/>
              </w:rPr>
              <w:t>Abraçadeira de Nylon</w:t>
            </w:r>
          </w:p>
        </w:tc>
        <w:tc>
          <w:tcPr>
            <w:tcW w:w="1509" w:type="dxa"/>
            <w:shd w:val="clear" w:color="auto" w:fill="auto"/>
          </w:tcPr>
          <w:p w:rsidR="000A1C9B" w:rsidRDefault="00BC69EF" w:rsidP="000E1A72">
            <w:pPr>
              <w:tabs>
                <w:tab w:val="left" w:pos="1134"/>
              </w:tabs>
              <w:spacing w:line="360" w:lineRule="auto"/>
              <w:jc w:val="both"/>
              <w:rPr>
                <w:rFonts w:cs="Arial"/>
                <w:sz w:val="24"/>
                <w:szCs w:val="24"/>
              </w:rPr>
            </w:pPr>
            <w:r>
              <w:rPr>
                <w:rFonts w:cs="Arial"/>
                <w:sz w:val="24"/>
                <w:szCs w:val="24"/>
              </w:rPr>
              <w:t>100</w:t>
            </w:r>
          </w:p>
        </w:tc>
        <w:tc>
          <w:tcPr>
            <w:tcW w:w="1526" w:type="dxa"/>
            <w:shd w:val="clear" w:color="auto" w:fill="auto"/>
          </w:tcPr>
          <w:p w:rsidR="000A1C9B" w:rsidRDefault="00BC69EF" w:rsidP="000E1A72">
            <w:pPr>
              <w:tabs>
                <w:tab w:val="left" w:pos="1134"/>
              </w:tabs>
              <w:spacing w:line="360" w:lineRule="auto"/>
              <w:jc w:val="both"/>
              <w:rPr>
                <w:rFonts w:cs="Arial"/>
                <w:sz w:val="24"/>
                <w:szCs w:val="24"/>
              </w:rPr>
            </w:pPr>
            <w:r>
              <w:rPr>
                <w:rFonts w:cs="Arial"/>
                <w:sz w:val="24"/>
                <w:szCs w:val="24"/>
              </w:rPr>
              <w:t>200</w:t>
            </w:r>
          </w:p>
        </w:tc>
        <w:tc>
          <w:tcPr>
            <w:tcW w:w="1661" w:type="dxa"/>
            <w:shd w:val="clear" w:color="auto" w:fill="auto"/>
          </w:tcPr>
          <w:p w:rsidR="000A1C9B" w:rsidRDefault="00BC69EF" w:rsidP="000E1A72">
            <w:pPr>
              <w:tabs>
                <w:tab w:val="left" w:pos="1134"/>
              </w:tabs>
              <w:spacing w:line="360" w:lineRule="auto"/>
              <w:jc w:val="both"/>
              <w:rPr>
                <w:rFonts w:cs="Arial"/>
                <w:sz w:val="24"/>
                <w:szCs w:val="24"/>
              </w:rPr>
            </w:pPr>
            <w:r>
              <w:rPr>
                <w:rFonts w:cs="Arial"/>
                <w:sz w:val="24"/>
                <w:szCs w:val="24"/>
              </w:rPr>
              <w:t>3,20</w:t>
            </w:r>
          </w:p>
        </w:tc>
        <w:tc>
          <w:tcPr>
            <w:tcW w:w="1693" w:type="dxa"/>
            <w:shd w:val="clear" w:color="auto" w:fill="auto"/>
          </w:tcPr>
          <w:p w:rsidR="000A1C9B" w:rsidRDefault="00BC69EF" w:rsidP="000E1A72">
            <w:pPr>
              <w:tabs>
                <w:tab w:val="left" w:pos="1134"/>
              </w:tabs>
              <w:spacing w:line="360" w:lineRule="auto"/>
              <w:jc w:val="both"/>
              <w:rPr>
                <w:rFonts w:cs="Arial"/>
                <w:sz w:val="24"/>
                <w:szCs w:val="24"/>
              </w:rPr>
            </w:pPr>
            <w:r>
              <w:rPr>
                <w:rFonts w:cs="Arial"/>
                <w:sz w:val="24"/>
                <w:szCs w:val="24"/>
              </w:rPr>
              <w:t>640,00</w:t>
            </w:r>
          </w:p>
        </w:tc>
      </w:tr>
      <w:tr w:rsidR="000553EC" w:rsidRPr="000E1A72" w:rsidTr="00BC69EF">
        <w:trPr>
          <w:trHeight w:val="334"/>
        </w:trPr>
        <w:tc>
          <w:tcPr>
            <w:tcW w:w="1963"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762" w:type="dxa"/>
            <w:shd w:val="clear" w:color="auto" w:fill="auto"/>
          </w:tcPr>
          <w:p w:rsidR="000553EC" w:rsidRDefault="000553EC" w:rsidP="000E1A72">
            <w:pPr>
              <w:tabs>
                <w:tab w:val="left" w:pos="1134"/>
              </w:tabs>
              <w:spacing w:line="360" w:lineRule="auto"/>
              <w:jc w:val="both"/>
              <w:rPr>
                <w:rFonts w:cs="Arial"/>
                <w:b/>
                <w:sz w:val="24"/>
                <w:szCs w:val="24"/>
              </w:rPr>
            </w:pPr>
          </w:p>
        </w:tc>
        <w:tc>
          <w:tcPr>
            <w:tcW w:w="1509" w:type="dxa"/>
            <w:shd w:val="clear" w:color="auto" w:fill="auto"/>
          </w:tcPr>
          <w:p w:rsidR="000553EC" w:rsidRDefault="000553EC" w:rsidP="000E1A72">
            <w:pPr>
              <w:tabs>
                <w:tab w:val="left" w:pos="1134"/>
              </w:tabs>
              <w:spacing w:line="360" w:lineRule="auto"/>
              <w:jc w:val="both"/>
              <w:rPr>
                <w:rFonts w:cs="Arial"/>
                <w:sz w:val="24"/>
                <w:szCs w:val="24"/>
              </w:rPr>
            </w:pPr>
          </w:p>
        </w:tc>
        <w:tc>
          <w:tcPr>
            <w:tcW w:w="1526" w:type="dxa"/>
            <w:shd w:val="clear" w:color="auto" w:fill="auto"/>
          </w:tcPr>
          <w:p w:rsidR="000553EC" w:rsidRDefault="000553EC" w:rsidP="000E1A72">
            <w:pPr>
              <w:tabs>
                <w:tab w:val="left" w:pos="1134"/>
              </w:tabs>
              <w:spacing w:line="360" w:lineRule="auto"/>
              <w:jc w:val="both"/>
              <w:rPr>
                <w:rFonts w:cs="Arial"/>
                <w:sz w:val="24"/>
                <w:szCs w:val="24"/>
              </w:rPr>
            </w:pPr>
          </w:p>
        </w:tc>
        <w:tc>
          <w:tcPr>
            <w:tcW w:w="1661" w:type="dxa"/>
            <w:shd w:val="clear" w:color="auto" w:fill="auto"/>
          </w:tcPr>
          <w:p w:rsidR="000553EC" w:rsidRDefault="000553EC" w:rsidP="000E1A72">
            <w:pPr>
              <w:tabs>
                <w:tab w:val="left" w:pos="1134"/>
              </w:tabs>
              <w:spacing w:line="360" w:lineRule="auto"/>
              <w:jc w:val="both"/>
              <w:rPr>
                <w:rFonts w:cs="Arial"/>
                <w:sz w:val="24"/>
                <w:szCs w:val="24"/>
              </w:rPr>
            </w:pPr>
          </w:p>
        </w:tc>
        <w:tc>
          <w:tcPr>
            <w:tcW w:w="1693" w:type="dxa"/>
            <w:tcBorders>
              <w:bottom w:val="single" w:sz="4" w:space="0" w:color="auto"/>
            </w:tcBorders>
            <w:shd w:val="clear" w:color="auto" w:fill="auto"/>
          </w:tcPr>
          <w:p w:rsidR="000553EC" w:rsidRDefault="00BC69EF" w:rsidP="000E1A72">
            <w:pPr>
              <w:tabs>
                <w:tab w:val="left" w:pos="1134"/>
              </w:tabs>
              <w:spacing w:line="360" w:lineRule="auto"/>
              <w:jc w:val="both"/>
              <w:rPr>
                <w:rFonts w:cs="Arial"/>
                <w:sz w:val="24"/>
                <w:szCs w:val="24"/>
              </w:rPr>
            </w:pPr>
            <w:r>
              <w:rPr>
                <w:rFonts w:cs="Arial"/>
                <w:sz w:val="24"/>
                <w:szCs w:val="24"/>
              </w:rPr>
              <w:t>640,00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lastRenderedPageBreak/>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lastRenderedPageBreak/>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lastRenderedPageBreak/>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lastRenderedPageBreak/>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w:t>
      </w:r>
      <w:r w:rsidRPr="00FA682C">
        <w:rPr>
          <w:rFonts w:cs="Arial"/>
          <w:sz w:val="24"/>
          <w:szCs w:val="24"/>
        </w:rPr>
        <w:lastRenderedPageBreak/>
        <w:t>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BC69EF" w:rsidRDefault="00BC69EF" w:rsidP="008D030B">
      <w:pPr>
        <w:tabs>
          <w:tab w:val="left" w:pos="1134"/>
        </w:tabs>
        <w:spacing w:line="360" w:lineRule="auto"/>
        <w:jc w:val="both"/>
        <w:rPr>
          <w:rFonts w:cs="Arial"/>
          <w:b/>
          <w:bCs/>
          <w:sz w:val="24"/>
          <w:szCs w:val="24"/>
        </w:rPr>
      </w:pPr>
      <w:r>
        <w:rPr>
          <w:rFonts w:cs="Arial"/>
          <w:b/>
          <w:bCs/>
          <w:sz w:val="24"/>
          <w:szCs w:val="24"/>
        </w:rPr>
        <w:t>CJC COMERCIO VAREJISTA E ATACADISTA DE FERRAMENTAS LTDA</w:t>
      </w:r>
    </w:p>
    <w:p w:rsidR="008D030B" w:rsidRPr="00BC69EF" w:rsidRDefault="00BC69EF" w:rsidP="00A579F4">
      <w:pPr>
        <w:tabs>
          <w:tab w:val="left" w:pos="1134"/>
        </w:tabs>
        <w:spacing w:line="360" w:lineRule="auto"/>
        <w:jc w:val="both"/>
        <w:rPr>
          <w:rFonts w:cs="Arial"/>
          <w:b/>
          <w:bCs/>
          <w:sz w:val="24"/>
          <w:szCs w:val="24"/>
        </w:rPr>
      </w:pPr>
      <w:r w:rsidRPr="00BC69EF">
        <w:rPr>
          <w:rFonts w:cs="Arial"/>
          <w:b/>
          <w:sz w:val="24"/>
          <w:szCs w:val="24"/>
        </w:rPr>
        <w:t>CINDY MAIRA TISSOT</w:t>
      </w:r>
    </w:p>
    <w:p w:rsidR="00AB566C" w:rsidRDefault="00AB566C" w:rsidP="00A579F4">
      <w:pPr>
        <w:tabs>
          <w:tab w:val="left" w:pos="1134"/>
        </w:tabs>
        <w:spacing w:line="360" w:lineRule="auto"/>
        <w:jc w:val="both"/>
        <w:rPr>
          <w:rFonts w:cs="Arial"/>
          <w:b/>
          <w:bCs/>
          <w:sz w:val="24"/>
          <w:szCs w:val="24"/>
        </w:rPr>
      </w:pPr>
    </w:p>
    <w:p w:rsidR="00BC69EF" w:rsidRDefault="00BC69EF" w:rsidP="00FA682C">
      <w:pPr>
        <w:tabs>
          <w:tab w:val="left" w:pos="1134"/>
        </w:tabs>
        <w:spacing w:line="360" w:lineRule="auto"/>
        <w:jc w:val="both"/>
        <w:rPr>
          <w:rFonts w:cs="Arial"/>
          <w:b/>
          <w:bCs/>
          <w:sz w:val="24"/>
          <w:szCs w:val="24"/>
        </w:rPr>
      </w:pPr>
    </w:p>
    <w:p w:rsidR="00BC69EF" w:rsidRDefault="00BC69EF"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D09" w:rsidRDefault="000D3D09">
      <w:r>
        <w:separator/>
      </w:r>
    </w:p>
  </w:endnote>
  <w:endnote w:type="continuationSeparator" w:id="1">
    <w:p w:rsidR="000D3D09" w:rsidRDefault="000D3D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D09" w:rsidRDefault="000D3D09">
      <w:r>
        <w:separator/>
      </w:r>
    </w:p>
  </w:footnote>
  <w:footnote w:type="continuationSeparator" w:id="1">
    <w:p w:rsidR="000D3D09" w:rsidRDefault="000D3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9700D8" w:rsidP="005562A3">
    <w:pPr>
      <w:pStyle w:val="Cabealho"/>
      <w:tabs>
        <w:tab w:val="clear" w:pos="4419"/>
        <w:tab w:val="clear" w:pos="8838"/>
        <w:tab w:val="left" w:pos="1845"/>
      </w:tabs>
      <w:rPr>
        <w:rFonts w:ascii="Times New Roman" w:hAnsi="Times New Roman"/>
        <w:kern w:val="2"/>
        <w:sz w:val="28"/>
        <w:szCs w:val="28"/>
      </w:rPr>
    </w:pPr>
    <w:r w:rsidRPr="009700D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04355"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D3D09"/>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33DF-0971-45AE-8D40-21201968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2618</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16723</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2024-06-04T14:06:00Z</dcterms:created>
  <dcterms:modified xsi:type="dcterms:W3CDTF">2024-06-04T14:06:00Z</dcterms:modified>
</cp:coreProperties>
</file>